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right"/>
      </w:pPr>
      <w:r>
        <w:rPr>
          <w:rFonts w:hint="eastAsia"/>
        </w:rPr>
        <w:t xml:space="preserve">    单位编号： 002021</w:t>
      </w:r>
      <w:r>
        <w:t xml:space="preserve">              </w:t>
      </w:r>
    </w:p>
    <w:p>
      <w:pPr>
        <w:ind w:firstLine="640"/>
      </w:pPr>
    </w:p>
    <w:p>
      <w:pPr>
        <w:ind w:firstLine="640"/>
      </w:pPr>
    </w:p>
    <w:p>
      <w:pPr>
        <w:ind w:firstLine="640"/>
      </w:pPr>
    </w:p>
    <w:p>
      <w:pPr>
        <w:pStyle w:val="8"/>
        <w:ind w:firstLine="960"/>
        <w:rPr>
          <w:rFonts w:ascii="华文中宋" w:hAnsi="华文中宋" w:eastAsia="华文中宋"/>
          <w:sz w:val="44"/>
          <w:szCs w:val="44"/>
        </w:rPr>
      </w:pPr>
      <w:r>
        <w:rPr>
          <w:rFonts w:hint="eastAsia"/>
        </w:rPr>
        <w:t>部门整体支出绩效评价自评报告</w:t>
      </w:r>
    </w:p>
    <w:p>
      <w:pPr>
        <w:ind w:firstLine="640"/>
      </w:pPr>
    </w:p>
    <w:p>
      <w:pPr>
        <w:pStyle w:val="9"/>
      </w:pPr>
      <w:r>
        <w:rPr>
          <w:rFonts w:hint="eastAsia"/>
        </w:rPr>
        <w:t>（2019年度）</w:t>
      </w:r>
    </w:p>
    <w:p>
      <w:pPr>
        <w:ind w:firstLine="640"/>
        <w:jc w:val="center"/>
      </w:pPr>
    </w:p>
    <w:p>
      <w:pPr>
        <w:ind w:firstLine="640"/>
        <w:jc w:val="center"/>
      </w:pPr>
    </w:p>
    <w:p>
      <w:pPr>
        <w:ind w:firstLine="640"/>
        <w:jc w:val="center"/>
      </w:pPr>
    </w:p>
    <w:p>
      <w:pPr>
        <w:ind w:firstLine="640"/>
        <w:jc w:val="center"/>
      </w:pPr>
    </w:p>
    <w:p>
      <w:pPr>
        <w:ind w:firstLine="640"/>
        <w:jc w:val="center"/>
      </w:pPr>
    </w:p>
    <w:p>
      <w:pPr>
        <w:ind w:firstLine="640"/>
        <w:jc w:val="center"/>
      </w:pPr>
    </w:p>
    <w:p>
      <w:pPr>
        <w:pStyle w:val="9"/>
      </w:pPr>
      <w:r>
        <w:rPr>
          <w:rFonts w:hint="eastAsia"/>
        </w:rPr>
        <w:t>单位名称：湖南幼儿师范高等专科学校</w:t>
      </w:r>
    </w:p>
    <w:p>
      <w:pPr>
        <w:ind w:firstLine="640"/>
        <w:jc w:val="center"/>
      </w:pPr>
    </w:p>
    <w:p>
      <w:pPr>
        <w:ind w:firstLine="640"/>
        <w:jc w:val="center"/>
      </w:pPr>
    </w:p>
    <w:p>
      <w:pPr>
        <w:ind w:firstLine="640"/>
        <w:jc w:val="center"/>
      </w:pPr>
    </w:p>
    <w:p>
      <w:pPr>
        <w:pStyle w:val="9"/>
      </w:pPr>
      <w:r>
        <w:rPr>
          <w:rFonts w:hint="eastAsia"/>
        </w:rPr>
        <w:t>报告日期：</w:t>
      </w:r>
      <w:r>
        <w:t>20</w:t>
      </w:r>
      <w:r>
        <w:rPr>
          <w:rFonts w:hint="eastAsia"/>
        </w:rPr>
        <w:t>20</w:t>
      </w:r>
      <w:r>
        <w:t>年6月2</w:t>
      </w:r>
      <w:r>
        <w:rPr>
          <w:rFonts w:hint="eastAsia"/>
        </w:rPr>
        <w:t>0</w:t>
      </w:r>
      <w:r>
        <w:t>日</w:t>
      </w:r>
    </w:p>
    <w:p>
      <w:pPr>
        <w:numPr>
          <w:ilvl w:val="0"/>
          <w:numId w:val="1"/>
        </w:numPr>
        <w:ind w:firstLine="0" w:firstLineChars="0"/>
      </w:pPr>
      <w:r>
        <w:br w:type="page"/>
      </w:r>
    </w:p>
    <w:p>
      <w:pPr>
        <w:pStyle w:val="2"/>
        <w:ind w:firstLine="641" w:firstLineChars="0"/>
      </w:pPr>
      <w:r>
        <w:rPr>
          <w:rFonts w:hint="eastAsia"/>
          <w:b w:val="0"/>
          <w:bCs w:val="0"/>
        </w:rPr>
        <w:t>一、</w:t>
      </w:r>
      <w:r>
        <w:t>部门概况</w:t>
      </w:r>
    </w:p>
    <w:p>
      <w:pPr>
        <w:adjustRightInd w:val="0"/>
        <w:snapToGrid w:val="0"/>
        <w:spacing w:line="360" w:lineRule="auto"/>
        <w:ind w:firstLine="640"/>
        <w:rPr>
          <w:rFonts w:hint="eastAsia"/>
          <w:szCs w:val="32"/>
          <w:highlight w:val="none"/>
        </w:rPr>
      </w:pPr>
      <w:r>
        <w:rPr>
          <w:rFonts w:hint="eastAsia"/>
          <w:szCs w:val="32"/>
        </w:rPr>
        <w:t>湖南幼儿师范高等专科学校</w:t>
      </w:r>
      <w:r>
        <w:rPr>
          <w:szCs w:val="32"/>
        </w:rPr>
        <w:t>（以下简称：</w:t>
      </w:r>
      <w:r>
        <w:rPr>
          <w:rFonts w:hint="eastAsia"/>
          <w:szCs w:val="32"/>
        </w:rPr>
        <w:t>湖南幼专</w:t>
      </w:r>
      <w:r>
        <w:rPr>
          <w:szCs w:val="32"/>
        </w:rPr>
        <w:t>）为市直独立财务核算的</w:t>
      </w:r>
      <w:r>
        <w:rPr>
          <w:rFonts w:hint="eastAsia"/>
          <w:szCs w:val="32"/>
        </w:rPr>
        <w:t>副厅</w:t>
      </w:r>
      <w:r>
        <w:rPr>
          <w:szCs w:val="32"/>
        </w:rPr>
        <w:t>级事业单位，属市财政预算一级拨款单位</w:t>
      </w:r>
      <w:r>
        <w:rPr>
          <w:rFonts w:hint="eastAsia"/>
          <w:szCs w:val="32"/>
        </w:rPr>
        <w:t>，</w:t>
      </w:r>
      <w:r>
        <w:rPr>
          <w:rFonts w:hint="eastAsia"/>
        </w:rPr>
        <w:t>统一社会信用代码：</w:t>
      </w:r>
      <w:r>
        <w:t>12430700MB0W572092</w:t>
      </w:r>
      <w:r>
        <w:rPr>
          <w:szCs w:val="32"/>
        </w:rPr>
        <w:t>。</w:t>
      </w:r>
      <w:r>
        <w:rPr>
          <w:rFonts w:hint="eastAsia"/>
          <w:szCs w:val="32"/>
        </w:rPr>
        <w:t>主要职责是培养、培训小学师资和幼儿教师。</w:t>
      </w:r>
      <w:r>
        <w:rPr>
          <w:szCs w:val="32"/>
        </w:rPr>
        <w:t>学校下设办公室、</w:t>
      </w:r>
      <w:r>
        <w:rPr>
          <w:rFonts w:hint="eastAsia"/>
          <w:szCs w:val="32"/>
        </w:rPr>
        <w:t>组织人事处</w:t>
      </w:r>
      <w:r>
        <w:rPr>
          <w:szCs w:val="32"/>
        </w:rPr>
        <w:t>、</w:t>
      </w:r>
      <w:r>
        <w:rPr>
          <w:rFonts w:hint="eastAsia"/>
          <w:szCs w:val="32"/>
        </w:rPr>
        <w:t>宣传处、纪检监察室、教务处、学生处、招生就业处、后勤管理处、财务装备处、保卫处、学前教育学院、小学教育学院、数理学院、艺术学院、基础教育学院、图书馆、科研处、教学督评中心、继续教育学院、思想政治理论课教学研究部、工会、团委等22</w:t>
      </w:r>
      <w:r>
        <w:rPr>
          <w:szCs w:val="32"/>
        </w:rPr>
        <w:t>个部门。</w:t>
      </w:r>
      <w:r>
        <w:rPr>
          <w:rFonts w:hint="eastAsia"/>
          <w:szCs w:val="32"/>
        </w:rPr>
        <w:t>截止到2019年12月31日在职在编427人（含控制数94），其中行管教辅154、专职教师259、工勤14。劳务派遣67人，其中管理人员49，</w:t>
      </w:r>
      <w:r>
        <w:rPr>
          <w:rFonts w:hint="eastAsia"/>
          <w:szCs w:val="32"/>
          <w:highlight w:val="none"/>
        </w:rPr>
        <w:t>专职教师4人，工勤14人。</w:t>
      </w:r>
    </w:p>
    <w:p>
      <w:pPr>
        <w:adjustRightInd w:val="0"/>
        <w:snapToGrid w:val="0"/>
        <w:spacing w:line="360" w:lineRule="auto"/>
        <w:ind w:firstLine="640"/>
        <w:rPr>
          <w:rFonts w:hint="eastAsia"/>
          <w:szCs w:val="32"/>
          <w:highlight w:val="none"/>
        </w:rPr>
      </w:pPr>
    </w:p>
    <w:p>
      <w:pPr>
        <w:pStyle w:val="2"/>
        <w:ind w:firstLine="641"/>
        <w:rPr>
          <w:highlight w:val="none"/>
        </w:rPr>
      </w:pPr>
      <w:r>
        <w:rPr>
          <w:rFonts w:hint="eastAsia"/>
          <w:highlight w:val="none"/>
        </w:rPr>
        <w:t>二、一般公共预算支出情况</w:t>
      </w:r>
    </w:p>
    <w:p>
      <w:pPr>
        <w:numPr>
          <w:ilvl w:val="0"/>
          <w:numId w:val="2"/>
        </w:numPr>
        <w:ind w:firstLine="640"/>
        <w:rPr>
          <w:b/>
          <w:bCs/>
          <w:highlight w:val="none"/>
        </w:rPr>
      </w:pPr>
      <w:r>
        <w:rPr>
          <w:rFonts w:hint="eastAsia"/>
          <w:b/>
          <w:bCs/>
          <w:highlight w:val="none"/>
        </w:rPr>
        <w:t>基本支出情况</w:t>
      </w:r>
    </w:p>
    <w:p>
      <w:pPr>
        <w:ind w:firstLine="640"/>
        <w:rPr>
          <w:highlight w:val="none"/>
        </w:rPr>
      </w:pPr>
      <w:r>
        <w:rPr>
          <w:rFonts w:hint="eastAsia"/>
          <w:highlight w:val="none"/>
        </w:rPr>
        <w:t>2</w:t>
      </w:r>
      <w:r>
        <w:rPr>
          <w:highlight w:val="none"/>
        </w:rPr>
        <w:t>019</w:t>
      </w:r>
      <w:r>
        <w:rPr>
          <w:rFonts w:hint="eastAsia"/>
          <w:highlight w:val="none"/>
        </w:rPr>
        <w:t>年本单位一般公共预算基本支出7</w:t>
      </w:r>
      <w:r>
        <w:rPr>
          <w:highlight w:val="none"/>
        </w:rPr>
        <w:t>286.37</w:t>
      </w:r>
      <w:r>
        <w:rPr>
          <w:rFonts w:hint="eastAsia"/>
          <w:highlight w:val="none"/>
        </w:rPr>
        <w:t>万元，其中人员经费6</w:t>
      </w:r>
      <w:r>
        <w:rPr>
          <w:highlight w:val="none"/>
        </w:rPr>
        <w:t>739.97</w:t>
      </w:r>
      <w:r>
        <w:rPr>
          <w:rFonts w:hint="eastAsia"/>
          <w:highlight w:val="none"/>
        </w:rPr>
        <w:t>万元，日常公用经费5</w:t>
      </w:r>
      <w:r>
        <w:rPr>
          <w:highlight w:val="none"/>
        </w:rPr>
        <w:t>46.4</w:t>
      </w:r>
      <w:r>
        <w:rPr>
          <w:rFonts w:hint="eastAsia"/>
          <w:highlight w:val="none"/>
        </w:rPr>
        <w:t>万元。</w:t>
      </w:r>
    </w:p>
    <w:p>
      <w:pPr>
        <w:numPr>
          <w:ilvl w:val="0"/>
          <w:numId w:val="2"/>
        </w:numPr>
        <w:ind w:firstLine="640"/>
        <w:rPr>
          <w:b/>
          <w:bCs/>
          <w:highlight w:val="none"/>
        </w:rPr>
      </w:pPr>
      <w:r>
        <w:rPr>
          <w:rFonts w:hint="eastAsia"/>
          <w:b/>
          <w:bCs/>
          <w:highlight w:val="none"/>
        </w:rPr>
        <w:t>项目支出情况</w:t>
      </w:r>
    </w:p>
    <w:p>
      <w:pPr>
        <w:ind w:firstLine="0" w:firstLineChars="0"/>
        <w:rPr>
          <w:highlight w:val="none"/>
        </w:rPr>
      </w:pPr>
      <w:r>
        <w:rPr>
          <w:highlight w:val="none"/>
        </w:rPr>
        <w:t xml:space="preserve">    2019</w:t>
      </w:r>
      <w:r>
        <w:rPr>
          <w:rFonts w:hint="eastAsia"/>
          <w:highlight w:val="none"/>
        </w:rPr>
        <w:t>年本单位一般公共预算项目支出3</w:t>
      </w:r>
      <w:r>
        <w:rPr>
          <w:highlight w:val="none"/>
        </w:rPr>
        <w:t>338.61</w:t>
      </w:r>
      <w:r>
        <w:rPr>
          <w:rFonts w:hint="eastAsia"/>
          <w:highlight w:val="none"/>
        </w:rPr>
        <w:t>万元。</w:t>
      </w:r>
    </w:p>
    <w:p>
      <w:pPr>
        <w:pStyle w:val="2"/>
        <w:ind w:firstLine="641"/>
        <w:rPr>
          <w:highlight w:val="none"/>
        </w:rPr>
      </w:pPr>
      <w:r>
        <w:rPr>
          <w:rFonts w:hint="eastAsia"/>
          <w:highlight w:val="none"/>
        </w:rPr>
        <w:t>三、部门整体支出绩效情况</w:t>
      </w:r>
    </w:p>
    <w:p>
      <w:pPr>
        <w:ind w:firstLine="641" w:firstLineChars="200"/>
        <w:rPr>
          <w:b/>
          <w:bCs/>
          <w:szCs w:val="32"/>
        </w:rPr>
      </w:pPr>
      <w:r>
        <w:rPr>
          <w:rFonts w:hint="eastAsia"/>
          <w:b/>
          <w:bCs/>
        </w:rPr>
        <w:t>（一）资产管理情况</w:t>
      </w:r>
    </w:p>
    <w:p>
      <w:pPr>
        <w:adjustRightInd w:val="0"/>
        <w:snapToGrid w:val="0"/>
        <w:spacing w:line="360" w:lineRule="auto"/>
        <w:ind w:firstLine="640"/>
      </w:pPr>
      <w:r>
        <w:rPr>
          <w:rFonts w:hint="eastAsia"/>
          <w:szCs w:val="32"/>
        </w:rPr>
        <w:t>报表反映截至2019年12月31日，固定资产总计39310.906万元。其中：办公用房5865万元；通用设备2956.14万元，家具用具3065.98万元。</w:t>
      </w:r>
    </w:p>
    <w:p>
      <w:pPr>
        <w:ind w:firstLine="320" w:firstLineChars="100"/>
        <w:rPr>
          <w:b/>
          <w:bCs/>
        </w:rPr>
      </w:pPr>
      <w:r>
        <w:rPr>
          <w:rFonts w:hint="eastAsia"/>
          <w:b/>
          <w:bCs/>
        </w:rPr>
        <w:t>（二）开展业务情况</w:t>
      </w:r>
    </w:p>
    <w:p>
      <w:pPr>
        <w:adjustRightInd w:val="0"/>
        <w:snapToGrid w:val="0"/>
        <w:spacing w:line="360" w:lineRule="auto"/>
        <w:ind w:firstLine="640"/>
        <w:rPr>
          <w:rFonts w:eastAsia="华文楷体"/>
        </w:rPr>
      </w:pPr>
      <w:r>
        <w:rPr>
          <w:rFonts w:hint="eastAsia"/>
        </w:rPr>
        <w:t>1、教师招聘和培训情况</w:t>
      </w:r>
    </w:p>
    <w:p>
      <w:pPr>
        <w:adjustRightInd w:val="0"/>
        <w:snapToGrid w:val="0"/>
        <w:spacing w:line="360" w:lineRule="auto"/>
        <w:ind w:firstLine="640"/>
        <w:rPr>
          <w:szCs w:val="32"/>
        </w:rPr>
      </w:pPr>
      <w:r>
        <w:rPr>
          <w:rFonts w:hint="eastAsia"/>
          <w:szCs w:val="32"/>
        </w:rPr>
        <w:t>2019</w:t>
      </w:r>
      <w:r>
        <w:rPr>
          <w:rFonts w:hint="eastAsia"/>
          <w:szCs w:val="32"/>
          <w:lang w:eastAsia="zh-CN"/>
        </w:rPr>
        <w:t>湖南幼专</w:t>
      </w:r>
      <w:r>
        <w:rPr>
          <w:rFonts w:hint="eastAsia"/>
          <w:szCs w:val="32"/>
        </w:rPr>
        <w:t>年普通高校师范类专业认证30人；青年教师教学业务学习32人；教师信息化培训50人（送培到校，省培项目）。计划2020年国内访学学者6人，国培项目12人，2020年普通高校师范类专业认证100人。</w:t>
      </w:r>
    </w:p>
    <w:p>
      <w:pPr>
        <w:adjustRightInd w:val="0"/>
        <w:snapToGrid w:val="0"/>
        <w:spacing w:line="360" w:lineRule="auto"/>
        <w:ind w:firstLine="640"/>
        <w:rPr>
          <w:szCs w:val="32"/>
        </w:rPr>
      </w:pPr>
      <w:r>
        <w:rPr>
          <w:rFonts w:hint="eastAsia"/>
          <w:szCs w:val="32"/>
        </w:rPr>
        <w:t>2019年共招聘编内人员29人，其中全日制硕士17人。编外人员25人。计划2020年计划招聘编内人员96人，编外人员10人。</w:t>
      </w:r>
    </w:p>
    <w:p>
      <w:pPr>
        <w:adjustRightInd w:val="0"/>
        <w:snapToGrid w:val="0"/>
        <w:spacing w:line="360" w:lineRule="auto"/>
        <w:ind w:left="640" w:leftChars="200" w:firstLine="0" w:firstLineChars="0"/>
        <w:rPr>
          <w:szCs w:val="32"/>
        </w:rPr>
      </w:pPr>
      <w:r>
        <w:rPr>
          <w:rFonts w:hint="eastAsia"/>
          <w:szCs w:val="32"/>
        </w:rPr>
        <w:t>2、招生及毕业生就业情况</w:t>
      </w:r>
    </w:p>
    <w:p>
      <w:pPr>
        <w:adjustRightInd w:val="0"/>
        <w:snapToGrid w:val="0"/>
        <w:spacing w:line="360" w:lineRule="auto"/>
        <w:ind w:firstLine="640"/>
        <w:rPr>
          <w:szCs w:val="32"/>
        </w:rPr>
      </w:pPr>
      <w:r>
        <w:rPr>
          <w:rFonts w:hint="eastAsia"/>
          <w:szCs w:val="32"/>
        </w:rPr>
        <w:t>2019年</w:t>
      </w:r>
      <w:r>
        <w:rPr>
          <w:rFonts w:hint="eastAsia"/>
          <w:szCs w:val="32"/>
          <w:lang w:eastAsia="zh-CN"/>
        </w:rPr>
        <w:t>湖南幼专</w:t>
      </w:r>
      <w:r>
        <w:rPr>
          <w:rFonts w:hint="eastAsia"/>
          <w:szCs w:val="32"/>
        </w:rPr>
        <w:t>三年制大专高招1500人以上，五年制中招800人以上。高招各批次录取分数线均远远高于全省高职专科类抛档线，文、理抛档线都是全省第二，其中文史类的抛档线为481，比去年提高了14分，理工类抛档线为405分，比去年提高了15分。大部分学生的分数都达到了三本线，更有一部分学生的分数超过了二本线。这在全省乃至全国的同类学校中都少见，生源质量得到有力的保证。在毕业生就业方面，学校不断加强校校、校企合作，努力拓展校内外毕业生见习、实习、就业和创业实训基地，建立长久的合作关系。建立用人单位数据库，举办本校的毕业生供需见面会并积极鼓励、组织学生参加其他供需见面会，调动全校教职工的积极性，联系往届校友，帮助学生推荐工作。特别是鼓励毕业生</w:t>
      </w:r>
      <w:r>
        <w:rPr>
          <w:rFonts w:hint="eastAsia"/>
          <w:szCs w:val="32"/>
          <w:lang w:eastAsia="zh-CN"/>
        </w:rPr>
        <w:t>积极</w:t>
      </w:r>
      <w:r>
        <w:rPr>
          <w:rFonts w:hint="eastAsia"/>
          <w:szCs w:val="32"/>
        </w:rPr>
        <w:t>参加 “湖南省特岗教师招考”，</w:t>
      </w:r>
      <w:r>
        <w:rPr>
          <w:rFonts w:hint="eastAsia"/>
          <w:szCs w:val="32"/>
          <w:lang w:eastAsia="zh-CN"/>
        </w:rPr>
        <w:t>输送教师资源</w:t>
      </w:r>
      <w:r>
        <w:rPr>
          <w:rFonts w:hint="eastAsia"/>
          <w:szCs w:val="32"/>
        </w:rPr>
        <w:t xml:space="preserve">到基层和老、少、边、贫地区从事教育工作，2019年我校报考特岗教师招考的毕业生录取通过110人。   </w:t>
      </w:r>
    </w:p>
    <w:p>
      <w:pPr>
        <w:adjustRightInd w:val="0"/>
        <w:snapToGrid w:val="0"/>
        <w:spacing w:line="360" w:lineRule="auto"/>
        <w:ind w:left="640" w:leftChars="200" w:firstLine="0" w:firstLineChars="0"/>
        <w:rPr>
          <w:szCs w:val="32"/>
        </w:rPr>
      </w:pPr>
      <w:r>
        <w:rPr>
          <w:rFonts w:hint="eastAsia"/>
          <w:szCs w:val="32"/>
        </w:rPr>
        <w:t>3、教学科研情况</w:t>
      </w:r>
    </w:p>
    <w:p>
      <w:pPr>
        <w:adjustRightInd w:val="0"/>
        <w:snapToGrid w:val="0"/>
        <w:spacing w:line="360" w:lineRule="auto"/>
        <w:ind w:firstLine="640"/>
        <w:rPr>
          <w:szCs w:val="32"/>
        </w:rPr>
      </w:pPr>
      <w:r>
        <w:rPr>
          <w:rFonts w:hint="eastAsia"/>
          <w:szCs w:val="32"/>
        </w:rPr>
        <w:t>在科研创新课题建设工作中，2019年我校省级以上立项课题8项，其中，省教育规划课题5项（重点1项），省社科联项目3项。市级课题立项19项，其中常德市科学创新发展专项6项，教育厅科技处课题8项（优秀青年项目2项），市委社科项目2项，市联合课题3项。8项科学研究项目中，4项省教育科学规划课题进行开题。同时，完成了3项省教育厅科学研究项目，9项市社科成果评审委员会课题，完成5项省规划课题结题。</w:t>
      </w:r>
    </w:p>
    <w:p>
      <w:pPr>
        <w:adjustRightInd w:val="0"/>
        <w:snapToGrid w:val="0"/>
        <w:spacing w:line="360" w:lineRule="auto"/>
        <w:ind w:firstLine="640"/>
        <w:rPr>
          <w:szCs w:val="32"/>
        </w:rPr>
      </w:pPr>
      <w:r>
        <w:rPr>
          <w:rFonts w:hint="eastAsia"/>
          <w:szCs w:val="32"/>
        </w:rPr>
        <w:t>在教育教学方面，2019年学校教师积极参加教学竞赛，并认真组织与指导学生参加各级各类学科专业竞赛，加强精品课程建设与教学改革项目研究，成绩显著。精品课程建设12项，涵盖了小学教育、学前教育、艺术教育、教师专业素质培养等多个方向，取得社会广泛好评。教学改革研究项目全年结题11项，合格率100%，两项教改课题被省教育厅评为“优秀”。</w:t>
      </w:r>
    </w:p>
    <w:p>
      <w:pPr>
        <w:adjustRightInd w:val="0"/>
        <w:snapToGrid w:val="0"/>
        <w:spacing w:line="360" w:lineRule="auto"/>
        <w:ind w:firstLine="640"/>
        <w:rPr>
          <w:szCs w:val="32"/>
        </w:rPr>
      </w:pPr>
      <w:r>
        <w:rPr>
          <w:rFonts w:hint="eastAsia"/>
          <w:szCs w:val="32"/>
        </w:rPr>
        <w:t>在指导学生参加专业技能竞赛方面，全校师生积极进取，拼搏创新，参加省级以上竞赛累积获奖42项。其中谭芳和莫群两位老师指导陈响、侯雯婧、方圆媛三位学生在教育部主办的2019年全国职业院校学前教育专业教育技能大赛上取得三等奖。2020年湖南省职业院校学前教育专业教育技能大赛（2019年12月）上，邓莉、梁英指导余丹妮、汪培培、张越灵获得二等奖，董晓莉、邓莉指导的张鲁萌、张叶平、黄明慧和余智慧、董晓莉指导的孙嘉彬、王倩、刘婕分别获得三等奖。易云珍、贾蓉指导庄瑷霞、杨蓓晰、晏宇蓝在2019年湖南省职业院校学前教育专业教育技能大赛上取得三等奖；第五届湖南省普通高等学校师范生教学技能竞赛上，杜燕在徐晓风、文君、李莎的指导下，丁纪荣在张雪琴、万虹、李莎的指导下分别获得二等奖，侯雯婧、方圆媛、陈响分别获得三等奖。杨宇亭、欧小兰、丁纪荣、邱丽、舒福萍五位同学在湖南省大学生学习贯彻习近平新时代中国特色社会主义思想暨第五届大学生思想政治理论课研究性学习成果展示竞赛中获三等奖。第四届湖南省大学生写作竞赛上，文绿林、曾萌两位老师指导陈佳丽、宋雯薇、刘琳朝三三位同学获得一个二等奖、两个三等奖。湖南省第五届青年文化艺术节上，瞿鹏旭同学获得金奖，伍沙、刘博文、钟倩三位同学分别获得铜奖。第六届湖南省青年文化艺术节上，肖坤同学获得金奖。在2019年湖南省科普讲解大赛中，朱玥同学获三等奖。在2019年湖南省职业院校导游服务能力竞赛（高职组）中，肖怡同学获得三等奖。在2019年湖南省大学生田径比赛中，严思敏、欧小兰、贺思思、彭绍杰四个同学分别获得第一名、两个第四名、第五名和两个第六名共计六项奖项。2019年湖南省大学生健美操比赛上，晏宇蓝、王东等7位同学分别获得了一个第一名、五个第二名和一个第四名的好成绩。2019年湖南省大学生乒乓球比赛上，汤艳方、杨嘉璐获得第四名。湖南省第二届大学生写作竞赛上，刘耀丽获得二等奖。朱玥在第四届全国学生“学宪法、讲宪法”活动湖南赛区演讲比赛总决赛中获得二等奖。汤艳方、杨嘉璐、董赛茜、甘敏在2019年湖南省大学生乒乓球比赛获得团体第三名。</w:t>
      </w:r>
    </w:p>
    <w:p>
      <w:pPr>
        <w:pStyle w:val="3"/>
        <w:ind w:firstLine="641"/>
        <w:rPr>
          <w:b/>
          <w:bCs w:val="0"/>
        </w:rPr>
      </w:pPr>
      <w:r>
        <w:rPr>
          <w:rFonts w:hint="eastAsia"/>
          <w:b/>
          <w:bCs w:val="0"/>
        </w:rPr>
        <w:t>（三）部门整体及核心业务实施效果</w:t>
      </w:r>
    </w:p>
    <w:p>
      <w:pPr>
        <w:ind w:firstLine="640"/>
        <w:rPr>
          <w:highlight w:val="none"/>
        </w:rPr>
      </w:pPr>
      <w:r>
        <w:rPr>
          <w:rFonts w:hint="eastAsia"/>
          <w:highlight w:val="none"/>
        </w:rPr>
        <w:t>1、运行成本情况</w:t>
      </w:r>
    </w:p>
    <w:p>
      <w:pPr>
        <w:ind w:firstLine="640"/>
        <w:rPr>
          <w:highlight w:val="none"/>
        </w:rPr>
      </w:pPr>
      <w:r>
        <w:rPr>
          <w:rFonts w:hint="eastAsia"/>
          <w:highlight w:val="none"/>
        </w:rPr>
        <w:t>本单位2</w:t>
      </w:r>
      <w:r>
        <w:rPr>
          <w:highlight w:val="none"/>
        </w:rPr>
        <w:t>019</w:t>
      </w:r>
      <w:r>
        <w:rPr>
          <w:rFonts w:hint="eastAsia"/>
          <w:highlight w:val="none"/>
        </w:rPr>
        <w:t>年一般公共预算机关运行经费5</w:t>
      </w:r>
      <w:r>
        <w:rPr>
          <w:highlight w:val="none"/>
        </w:rPr>
        <w:t>46.4</w:t>
      </w:r>
      <w:r>
        <w:rPr>
          <w:rFonts w:hint="eastAsia"/>
          <w:highlight w:val="none"/>
        </w:rPr>
        <w:t>万元，比2</w:t>
      </w:r>
      <w:r>
        <w:rPr>
          <w:highlight w:val="none"/>
        </w:rPr>
        <w:t>018</w:t>
      </w:r>
      <w:r>
        <w:rPr>
          <w:rFonts w:hint="eastAsia"/>
          <w:highlight w:val="none"/>
        </w:rPr>
        <w:t>年下降4</w:t>
      </w:r>
      <w:r>
        <w:rPr>
          <w:highlight w:val="none"/>
        </w:rPr>
        <w:t>4.12%</w:t>
      </w:r>
      <w:r>
        <w:rPr>
          <w:rFonts w:hint="eastAsia"/>
          <w:highlight w:val="none"/>
        </w:rPr>
        <w:t>。</w:t>
      </w:r>
    </w:p>
    <w:p>
      <w:pPr>
        <w:numPr>
          <w:ilvl w:val="0"/>
          <w:numId w:val="3"/>
        </w:numPr>
        <w:ind w:firstLine="640"/>
        <w:rPr>
          <w:highlight w:val="none"/>
        </w:rPr>
      </w:pPr>
      <w:r>
        <w:rPr>
          <w:rFonts w:hint="eastAsia"/>
          <w:highlight w:val="none"/>
        </w:rPr>
        <w:t>管理效率情况</w:t>
      </w:r>
    </w:p>
    <w:p>
      <w:pPr>
        <w:ind w:firstLine="0" w:firstLineChars="0"/>
        <w:rPr>
          <w:highlight w:val="none"/>
        </w:rPr>
      </w:pPr>
      <w:r>
        <w:rPr>
          <w:rFonts w:hint="eastAsia"/>
          <w:highlight w:val="none"/>
        </w:rPr>
        <w:t xml:space="preserve">    学校17个行政部门高效开展工作，保障5个承担教育教学任务的学院的顺利运转。拟筹备建设资产管理系统，加快行政办事效率。</w:t>
      </w:r>
    </w:p>
    <w:p>
      <w:pPr>
        <w:numPr>
          <w:ilvl w:val="0"/>
          <w:numId w:val="3"/>
        </w:numPr>
        <w:ind w:firstLine="640"/>
      </w:pPr>
      <w:r>
        <w:rPr>
          <w:rFonts w:hint="eastAsia"/>
        </w:rPr>
        <w:t>履行职能情况</w:t>
      </w:r>
    </w:p>
    <w:p>
      <w:pPr>
        <w:ind w:firstLine="640"/>
      </w:pPr>
      <w:r>
        <w:rPr>
          <w:rFonts w:hint="eastAsia"/>
        </w:rPr>
        <w:t>积极地履行了学校为社会培育优秀幼儿教师的教育职能和社会职能。</w:t>
      </w:r>
    </w:p>
    <w:p>
      <w:pPr>
        <w:ind w:firstLine="640"/>
        <w:rPr>
          <w:rFonts w:hint="eastAsia" w:eastAsia="华文仿宋"/>
          <w:highlight w:val="yellow"/>
          <w:lang w:eastAsia="zh-CN"/>
        </w:rPr>
      </w:pPr>
      <w:r>
        <w:rPr>
          <w:rFonts w:hint="eastAsia"/>
        </w:rPr>
        <w:t>4、社会效应情况：培养了一批合格教师，提高了教育教学水平，</w:t>
      </w:r>
      <w:r>
        <w:t>提升</w:t>
      </w:r>
      <w:r>
        <w:rPr>
          <w:rFonts w:hint="eastAsia"/>
        </w:rPr>
        <w:t>了</w:t>
      </w:r>
      <w:r>
        <w:t>学校</w:t>
      </w:r>
      <w:r>
        <w:rPr>
          <w:rFonts w:hint="eastAsia"/>
        </w:rPr>
        <w:t>在专业方向的</w:t>
      </w:r>
      <w:r>
        <w:t>知</w:t>
      </w:r>
      <w:r>
        <w:rPr>
          <w:highlight w:val="none"/>
        </w:rPr>
        <w:t>名度</w:t>
      </w:r>
      <w:r>
        <w:rPr>
          <w:rFonts w:hint="eastAsia"/>
          <w:highlight w:val="none"/>
        </w:rPr>
        <w:t>，</w:t>
      </w:r>
      <w:r>
        <w:rPr>
          <w:highlight w:val="none"/>
        </w:rPr>
        <w:t>201</w:t>
      </w:r>
      <w:r>
        <w:rPr>
          <w:rFonts w:hint="eastAsia"/>
          <w:highlight w:val="none"/>
        </w:rPr>
        <w:t>9</w:t>
      </w:r>
      <w:r>
        <w:rPr>
          <w:highlight w:val="none"/>
        </w:rPr>
        <w:t>年度</w:t>
      </w:r>
      <w:r>
        <w:rPr>
          <w:rFonts w:hint="eastAsia"/>
          <w:highlight w:val="none"/>
          <w:lang w:eastAsia="zh-CN"/>
        </w:rPr>
        <w:t>成功申报</w:t>
      </w:r>
      <w:r>
        <w:rPr>
          <w:highlight w:val="none"/>
        </w:rPr>
        <w:t>市级文明</w:t>
      </w:r>
      <w:r>
        <w:rPr>
          <w:rFonts w:hint="eastAsia"/>
          <w:highlight w:val="none"/>
          <w:lang w:eastAsia="zh-CN"/>
        </w:rPr>
        <w:t>标兵校园</w:t>
      </w:r>
      <w:r>
        <w:rPr>
          <w:rFonts w:hint="eastAsia"/>
          <w:highlight w:val="none"/>
        </w:rPr>
        <w:t>，积极申报</w:t>
      </w:r>
      <w:r>
        <w:rPr>
          <w:rFonts w:hint="eastAsia"/>
          <w:highlight w:val="none"/>
          <w:lang w:val="en-US" w:eastAsia="zh-CN"/>
        </w:rPr>
        <w:t>2020年度</w:t>
      </w:r>
      <w:r>
        <w:rPr>
          <w:rFonts w:hint="eastAsia"/>
          <w:highlight w:val="none"/>
        </w:rPr>
        <w:t>省级文明</w:t>
      </w:r>
      <w:r>
        <w:rPr>
          <w:rFonts w:hint="eastAsia"/>
          <w:highlight w:val="none"/>
          <w:lang w:eastAsia="zh-CN"/>
        </w:rPr>
        <w:t>校园。</w:t>
      </w:r>
    </w:p>
    <w:p>
      <w:pPr>
        <w:ind w:firstLine="640"/>
        <w:rPr>
          <w:highlight w:val="none"/>
        </w:rPr>
      </w:pPr>
      <w:r>
        <w:rPr>
          <w:rFonts w:hint="eastAsia"/>
        </w:rPr>
        <w:t>5、可持续发展情况：不断提升教育质量，为实现同类</w:t>
      </w:r>
      <w:r>
        <w:rPr>
          <w:rFonts w:hint="eastAsia"/>
          <w:highlight w:val="none"/>
        </w:rPr>
        <w:t>一流幼儿师专和专升本打下了坚实基础。</w:t>
      </w:r>
    </w:p>
    <w:p>
      <w:pPr>
        <w:ind w:firstLine="640"/>
        <w:rPr>
          <w:rFonts w:hint="eastAsia"/>
          <w:highlight w:val="none"/>
        </w:rPr>
      </w:pPr>
      <w:r>
        <w:rPr>
          <w:rFonts w:hint="eastAsia"/>
          <w:highlight w:val="none"/>
        </w:rPr>
        <w:t>6、服务对象满意度情况：经过调查，服务对象满意度9</w:t>
      </w:r>
      <w:r>
        <w:rPr>
          <w:rFonts w:hint="eastAsia"/>
          <w:highlight w:val="none"/>
          <w:lang w:val="en-US" w:eastAsia="zh-CN"/>
        </w:rPr>
        <w:t>3</w:t>
      </w:r>
      <w:r>
        <w:rPr>
          <w:rFonts w:hint="eastAsia"/>
          <w:highlight w:val="none"/>
        </w:rPr>
        <w:t>%。</w:t>
      </w:r>
    </w:p>
    <w:p>
      <w:pPr>
        <w:ind w:firstLine="640"/>
        <w:rPr>
          <w:rFonts w:hint="eastAsia"/>
        </w:rPr>
      </w:pPr>
    </w:p>
    <w:p>
      <w:pPr>
        <w:ind w:firstLine="641"/>
        <w:rPr>
          <w:rFonts w:eastAsia="华文细黑"/>
          <w:b/>
          <w:bCs/>
          <w:kern w:val="44"/>
          <w:szCs w:val="44"/>
        </w:rPr>
      </w:pPr>
      <w:r>
        <w:rPr>
          <w:rFonts w:hint="eastAsia" w:eastAsia="华文细黑"/>
          <w:b/>
          <w:bCs/>
          <w:kern w:val="44"/>
          <w:szCs w:val="44"/>
        </w:rPr>
        <w:t>四、评价结论及等次</w:t>
      </w:r>
    </w:p>
    <w:p>
      <w:pPr>
        <w:ind w:firstLine="640"/>
        <w:rPr>
          <w:highlight w:val="none"/>
        </w:rPr>
      </w:pPr>
      <w:r>
        <w:rPr>
          <w:rFonts w:hint="eastAsia"/>
        </w:rPr>
        <w:t>我校接到财政局通知后，成立了评价小组，结合项目实际情况制定了绩效评价方案。评价实施过程中根据拟定方案，经过收集资料、问卷调查、综合分析等程序后，形成本绩</w:t>
      </w:r>
      <w:r>
        <w:rPr>
          <w:rFonts w:hint="eastAsia"/>
          <w:highlight w:val="none"/>
        </w:rPr>
        <w:t>效自评报告。</w:t>
      </w:r>
    </w:p>
    <w:p>
      <w:pPr>
        <w:ind w:firstLine="640"/>
        <w:rPr>
          <w:highlight w:val="none"/>
        </w:rPr>
      </w:pPr>
      <w:r>
        <w:rPr>
          <w:rFonts w:hint="eastAsia"/>
          <w:highlight w:val="none"/>
        </w:rPr>
        <w:t>经综合评价，湖南幼儿师范高等专科学校</w:t>
      </w:r>
      <w:r>
        <w:rPr>
          <w:highlight w:val="none"/>
        </w:rPr>
        <w:t>201</w:t>
      </w:r>
      <w:r>
        <w:rPr>
          <w:rFonts w:hint="eastAsia"/>
          <w:highlight w:val="none"/>
        </w:rPr>
        <w:t>9</w:t>
      </w:r>
      <w:r>
        <w:rPr>
          <w:highlight w:val="none"/>
        </w:rPr>
        <w:t>年部门整体支出绩效评价得分</w:t>
      </w:r>
      <w:r>
        <w:rPr>
          <w:rFonts w:hint="eastAsia"/>
          <w:highlight w:val="none"/>
          <w:lang w:val="en-US" w:eastAsia="zh-CN"/>
        </w:rPr>
        <w:t>82</w:t>
      </w:r>
      <w:r>
        <w:rPr>
          <w:rFonts w:hint="eastAsia"/>
          <w:highlight w:val="none"/>
        </w:rPr>
        <w:t>分，评价结果为“</w:t>
      </w:r>
      <w:r>
        <w:rPr>
          <w:rFonts w:hint="eastAsia"/>
          <w:highlight w:val="none"/>
          <w:lang w:eastAsia="zh-CN"/>
        </w:rPr>
        <w:t>良</w:t>
      </w:r>
      <w:r>
        <w:rPr>
          <w:highlight w:val="none"/>
        </w:rPr>
        <w:t>”。具体评分情况见附件。</w:t>
      </w:r>
    </w:p>
    <w:p>
      <w:pPr>
        <w:ind w:firstLine="640"/>
        <w:rPr>
          <w:highlight w:val="none"/>
        </w:rPr>
      </w:pPr>
    </w:p>
    <w:p>
      <w:pPr>
        <w:ind w:firstLine="641"/>
        <w:rPr>
          <w:rFonts w:eastAsia="华文细黑"/>
          <w:b/>
          <w:bCs/>
          <w:kern w:val="44"/>
          <w:szCs w:val="44"/>
        </w:rPr>
      </w:pPr>
      <w:r>
        <w:rPr>
          <w:rFonts w:hint="eastAsia" w:eastAsia="华文细黑"/>
          <w:b/>
          <w:bCs/>
          <w:kern w:val="44"/>
          <w:szCs w:val="44"/>
        </w:rPr>
        <w:t>五、存在的问题及原因分析</w:t>
      </w:r>
    </w:p>
    <w:p>
      <w:pPr>
        <w:ind w:firstLine="641" w:firstLineChars="0"/>
        <w:rPr>
          <w:b/>
          <w:bCs/>
          <w:highlight w:val="none"/>
        </w:rPr>
      </w:pPr>
      <w:r>
        <w:rPr>
          <w:rFonts w:hint="eastAsia"/>
          <w:b/>
          <w:bCs/>
          <w:highlight w:val="none"/>
        </w:rPr>
        <w:t>（一）财务管理方面存在的问题</w:t>
      </w:r>
    </w:p>
    <w:p>
      <w:pPr>
        <w:pStyle w:val="4"/>
        <w:ind w:firstLine="640"/>
        <w:rPr>
          <w:highlight w:val="none"/>
        </w:rPr>
      </w:pPr>
      <w:r>
        <w:rPr>
          <w:rFonts w:hint="eastAsia"/>
          <w:highlight w:val="none"/>
        </w:rPr>
        <w:t>1. 预算</w:t>
      </w:r>
      <w:r>
        <w:rPr>
          <w:highlight w:val="none"/>
        </w:rPr>
        <w:t>执行方面</w:t>
      </w:r>
    </w:p>
    <w:p>
      <w:pPr>
        <w:ind w:firstLine="640"/>
        <w:rPr>
          <w:rFonts w:hint="eastAsia"/>
          <w:highlight w:val="none"/>
        </w:rPr>
      </w:pPr>
      <w:r>
        <w:rPr>
          <w:rFonts w:hint="eastAsia"/>
          <w:highlight w:val="none"/>
        </w:rPr>
        <w:t>我校201</w:t>
      </w:r>
      <w:r>
        <w:rPr>
          <w:highlight w:val="none"/>
        </w:rPr>
        <w:t>9</w:t>
      </w:r>
      <w:r>
        <w:rPr>
          <w:rFonts w:hint="eastAsia"/>
          <w:highlight w:val="none"/>
        </w:rPr>
        <w:t>年</w:t>
      </w:r>
      <w:r>
        <w:rPr>
          <w:highlight w:val="none"/>
        </w:rPr>
        <w:t>预算</w:t>
      </w:r>
      <w:r>
        <w:rPr>
          <w:rFonts w:hint="eastAsia"/>
          <w:highlight w:val="none"/>
        </w:rPr>
        <w:t>完成</w:t>
      </w:r>
      <w:r>
        <w:rPr>
          <w:highlight w:val="none"/>
        </w:rPr>
        <w:t>率</w:t>
      </w:r>
      <w:r>
        <w:rPr>
          <w:rFonts w:hint="eastAsia"/>
          <w:highlight w:val="none"/>
        </w:rPr>
        <w:t>8</w:t>
      </w:r>
      <w:r>
        <w:rPr>
          <w:highlight w:val="none"/>
        </w:rPr>
        <w:t>3%</w:t>
      </w:r>
      <w:r>
        <w:rPr>
          <w:rFonts w:hint="eastAsia"/>
          <w:highlight w:val="none"/>
        </w:rPr>
        <w:t>，预算控制率</w:t>
      </w:r>
      <w:r>
        <w:rPr>
          <w:highlight w:val="none"/>
        </w:rPr>
        <w:t>46.9%，预算执行欠佳。</w:t>
      </w:r>
    </w:p>
    <w:p>
      <w:pPr>
        <w:pStyle w:val="4"/>
        <w:ind w:firstLine="640"/>
        <w:rPr>
          <w:highlight w:val="none"/>
        </w:rPr>
      </w:pPr>
      <w:r>
        <w:rPr>
          <w:rFonts w:hint="eastAsia"/>
          <w:highlight w:val="none"/>
        </w:rPr>
        <w:t>2</w:t>
      </w:r>
      <w:r>
        <w:rPr>
          <w:highlight w:val="none"/>
        </w:rPr>
        <w:t xml:space="preserve">. </w:t>
      </w:r>
      <w:r>
        <w:rPr>
          <w:rFonts w:hint="eastAsia"/>
          <w:highlight w:val="none"/>
        </w:rPr>
        <w:t>预算</w:t>
      </w:r>
      <w:r>
        <w:rPr>
          <w:highlight w:val="none"/>
        </w:rPr>
        <w:t>管理方面</w:t>
      </w:r>
    </w:p>
    <w:p>
      <w:pPr>
        <w:ind w:firstLine="640"/>
        <w:rPr>
          <w:highlight w:val="none"/>
        </w:rPr>
      </w:pPr>
      <w:r>
        <w:rPr>
          <w:rFonts w:hint="eastAsia"/>
          <w:highlight w:val="none"/>
        </w:rPr>
        <w:t>我</w:t>
      </w:r>
      <w:r>
        <w:rPr>
          <w:highlight w:val="none"/>
        </w:rPr>
        <w:t>校2019年公用经费控制率为</w:t>
      </w:r>
      <w:r>
        <w:rPr>
          <w:rFonts w:hint="eastAsia"/>
          <w:highlight w:val="none"/>
        </w:rPr>
        <w:t>1</w:t>
      </w:r>
      <w:r>
        <w:rPr>
          <w:highlight w:val="none"/>
        </w:rPr>
        <w:t>72.4%，预算管理有待改进</w:t>
      </w:r>
      <w:r>
        <w:rPr>
          <w:rFonts w:hint="eastAsia"/>
          <w:highlight w:val="none"/>
        </w:rPr>
        <w:t>。</w:t>
      </w:r>
    </w:p>
    <w:p>
      <w:pPr>
        <w:ind w:left="640" w:leftChars="200" w:firstLine="0" w:firstLineChars="0"/>
        <w:rPr>
          <w:b/>
          <w:bCs/>
        </w:rPr>
      </w:pPr>
      <w:r>
        <w:rPr>
          <w:rFonts w:hint="eastAsia"/>
          <w:b/>
          <w:bCs/>
          <w:highlight w:val="none"/>
        </w:rPr>
        <w:t>（二）业务工作方面存在的问</w:t>
      </w:r>
      <w:r>
        <w:rPr>
          <w:rFonts w:hint="eastAsia"/>
          <w:b/>
          <w:bCs/>
        </w:rPr>
        <w:t>题</w:t>
      </w:r>
    </w:p>
    <w:p>
      <w:pPr>
        <w:ind w:firstLine="640"/>
      </w:pPr>
      <w:r>
        <w:rPr>
          <w:rFonts w:hint="eastAsia"/>
        </w:rPr>
        <w:t>学校教育教学硬件设施、师资力量和专业建设有待加强。</w:t>
      </w:r>
    </w:p>
    <w:p>
      <w:pPr>
        <w:ind w:left="640" w:leftChars="200" w:firstLine="0" w:firstLineChars="0"/>
      </w:pPr>
    </w:p>
    <w:p>
      <w:pPr>
        <w:ind w:firstLine="641"/>
        <w:rPr>
          <w:rFonts w:eastAsia="华文细黑"/>
          <w:b/>
          <w:bCs/>
          <w:kern w:val="44"/>
          <w:szCs w:val="44"/>
        </w:rPr>
      </w:pPr>
      <w:r>
        <w:rPr>
          <w:rFonts w:hint="eastAsia" w:eastAsia="华文细黑"/>
          <w:b/>
          <w:bCs/>
          <w:kern w:val="44"/>
          <w:szCs w:val="44"/>
        </w:rPr>
        <w:t>六、下一步改进措施</w:t>
      </w:r>
    </w:p>
    <w:p>
      <w:pPr>
        <w:ind w:firstLine="320" w:firstLineChars="100"/>
      </w:pPr>
      <w:r>
        <w:rPr>
          <w:rFonts w:hint="eastAsia"/>
        </w:rPr>
        <w:t xml:space="preserve"> </w:t>
      </w:r>
      <w:r>
        <w:rPr>
          <w:rFonts w:hint="eastAsia"/>
          <w:b/>
          <w:bCs/>
        </w:rPr>
        <w:t xml:space="preserve"> （一）财务管理方面的改进措施</w:t>
      </w:r>
    </w:p>
    <w:p>
      <w:pPr>
        <w:ind w:firstLine="640"/>
      </w:pPr>
      <w:r>
        <w:rPr>
          <w:rFonts w:hint="eastAsia"/>
        </w:rPr>
        <w:t>预算</w:t>
      </w:r>
      <w:r>
        <w:t>执行方面</w:t>
      </w:r>
      <w:r>
        <w:rPr>
          <w:rFonts w:hint="eastAsia"/>
        </w:rPr>
        <w:t>，在执行预算时应充分、全面地考虑年初预算外的变动因素，包括梳理上年结转资金、预算之外的重点项目，进而推动学校重点、中心工作按计划执行，保证支出进度，顺利完成预算目标。</w:t>
      </w:r>
    </w:p>
    <w:p>
      <w:pPr>
        <w:ind w:firstLine="640"/>
      </w:pPr>
      <w:r>
        <w:rPr>
          <w:rFonts w:hint="eastAsia"/>
        </w:rPr>
        <w:t>预算管理方面，在预算编制时应总结以往预算执行差异的原因，对来年工作计划进行详细的剖析和分析，充分全面的考虑预算变动因素，包括因学校师生规模的扩大导致的支出变化，保证预算编制的合理性与全面性。</w:t>
      </w:r>
    </w:p>
    <w:p>
      <w:pPr>
        <w:ind w:firstLine="640"/>
        <w:rPr>
          <w:b/>
          <w:bCs/>
        </w:rPr>
      </w:pPr>
      <w:r>
        <w:rPr>
          <w:rFonts w:hint="eastAsia"/>
          <w:b/>
          <w:bCs/>
        </w:rPr>
        <w:t>（二）业务工作方面的改进措施</w:t>
      </w:r>
    </w:p>
    <w:p>
      <w:pPr>
        <w:ind w:firstLine="640"/>
      </w:pPr>
      <w:r>
        <w:rPr>
          <w:rFonts w:hint="eastAsia"/>
        </w:rPr>
        <w:t>进一步增加教育教学资金方面的投入，添置、完善教师教学和学生学习所需要的硬件设施，如信息化设备的更新、教学科研平台的使用等。</w:t>
      </w:r>
    </w:p>
    <w:p>
      <w:pPr>
        <w:ind w:firstLine="640"/>
      </w:pPr>
      <w:r>
        <w:rPr>
          <w:rFonts w:hint="eastAsia"/>
        </w:rPr>
        <w:t>进一步加强专任教师人才队伍的建设，扩大招聘有较高水平的专任教师岗位，鼓励兼任教师提升个人教学水平，鼓励在职教师积极参与建设特色科研项目，鼓励在职教师继续深造，积极组织开展、参与教师培训和比赛，进一步提升学校师资力量。</w:t>
      </w:r>
    </w:p>
    <w:p>
      <w:pPr>
        <w:ind w:firstLine="640"/>
      </w:pPr>
      <w:r>
        <w:rPr>
          <w:rFonts w:hint="eastAsia"/>
        </w:rPr>
        <w:t>进一步打造本校优势专业，让现有专业在校学生所能享受到更加优质的教育资源。同时积极发展建设其他学科的专业，增强学校教育</w:t>
      </w:r>
      <w:r>
        <w:rPr>
          <w:rFonts w:hint="eastAsia"/>
          <w:lang w:eastAsia="zh-CN"/>
        </w:rPr>
        <w:t>工作</w:t>
      </w:r>
      <w:r>
        <w:rPr>
          <w:rFonts w:hint="eastAsia"/>
        </w:rPr>
        <w:t>软实力</w:t>
      </w:r>
      <w:r>
        <w:rPr>
          <w:rFonts w:hint="eastAsia"/>
          <w:lang w:eastAsia="zh-CN"/>
        </w:rPr>
        <w:t>和竞争力。</w:t>
      </w:r>
    </w:p>
    <w:p>
      <w:pPr>
        <w:numPr>
          <w:numId w:val="0"/>
        </w:num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D81CCA"/>
    <w:multiLevelType w:val="singleLevel"/>
    <w:tmpl w:val="8AD81CCA"/>
    <w:lvl w:ilvl="0" w:tentative="0">
      <w:start w:val="1"/>
      <w:numFmt w:val="chineseCounting"/>
      <w:suff w:val="nothing"/>
      <w:lvlText w:val="（%1）"/>
      <w:lvlJc w:val="left"/>
      <w:rPr>
        <w:rFonts w:hint="eastAsia"/>
      </w:rPr>
    </w:lvl>
  </w:abstractNum>
  <w:abstractNum w:abstractNumId="1">
    <w:nsid w:val="BE1021C0"/>
    <w:multiLevelType w:val="singleLevel"/>
    <w:tmpl w:val="BE1021C0"/>
    <w:lvl w:ilvl="0" w:tentative="0">
      <w:start w:val="2"/>
      <w:numFmt w:val="decimal"/>
      <w:suff w:val="nothing"/>
      <w:lvlText w:val="%1、"/>
      <w:lvlJc w:val="left"/>
    </w:lvl>
  </w:abstractNum>
  <w:abstractNum w:abstractNumId="2">
    <w:nsid w:val="2CC1EF85"/>
    <w:multiLevelType w:val="singleLevel"/>
    <w:tmpl w:val="2CC1EF85"/>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127195"/>
    <w:rsid w:val="000716B1"/>
    <w:rsid w:val="005043E2"/>
    <w:rsid w:val="00512E16"/>
    <w:rsid w:val="00523737"/>
    <w:rsid w:val="005C57ED"/>
    <w:rsid w:val="008100E9"/>
    <w:rsid w:val="00C43EFB"/>
    <w:rsid w:val="00D6321E"/>
    <w:rsid w:val="00D84E1B"/>
    <w:rsid w:val="00FD7963"/>
    <w:rsid w:val="011024E7"/>
    <w:rsid w:val="02127195"/>
    <w:rsid w:val="023747E4"/>
    <w:rsid w:val="04404F33"/>
    <w:rsid w:val="05E10799"/>
    <w:rsid w:val="06E67B69"/>
    <w:rsid w:val="10E14915"/>
    <w:rsid w:val="11262978"/>
    <w:rsid w:val="119574D1"/>
    <w:rsid w:val="121420A8"/>
    <w:rsid w:val="141A0BFE"/>
    <w:rsid w:val="1421109E"/>
    <w:rsid w:val="15896EB7"/>
    <w:rsid w:val="182B1AF9"/>
    <w:rsid w:val="189A4A0F"/>
    <w:rsid w:val="19323577"/>
    <w:rsid w:val="196265DC"/>
    <w:rsid w:val="1B862E9D"/>
    <w:rsid w:val="1CD0695C"/>
    <w:rsid w:val="1D527EAC"/>
    <w:rsid w:val="1E003780"/>
    <w:rsid w:val="226E0419"/>
    <w:rsid w:val="22D66DE6"/>
    <w:rsid w:val="233A69BF"/>
    <w:rsid w:val="23D85F9F"/>
    <w:rsid w:val="23D9037F"/>
    <w:rsid w:val="252E32D9"/>
    <w:rsid w:val="25D51BF8"/>
    <w:rsid w:val="29F00C68"/>
    <w:rsid w:val="2AA33F86"/>
    <w:rsid w:val="2CBD5339"/>
    <w:rsid w:val="2F2860F5"/>
    <w:rsid w:val="2F3B15FF"/>
    <w:rsid w:val="30FB62B4"/>
    <w:rsid w:val="33E54044"/>
    <w:rsid w:val="34C02128"/>
    <w:rsid w:val="35D83E40"/>
    <w:rsid w:val="37496936"/>
    <w:rsid w:val="376334FF"/>
    <w:rsid w:val="3D2369A9"/>
    <w:rsid w:val="3DB03BD5"/>
    <w:rsid w:val="3E837283"/>
    <w:rsid w:val="41787961"/>
    <w:rsid w:val="433F1F02"/>
    <w:rsid w:val="437059CE"/>
    <w:rsid w:val="44874A06"/>
    <w:rsid w:val="44BF3573"/>
    <w:rsid w:val="46AA3DA6"/>
    <w:rsid w:val="46FE5D5E"/>
    <w:rsid w:val="477838A9"/>
    <w:rsid w:val="49440E64"/>
    <w:rsid w:val="4AF46A63"/>
    <w:rsid w:val="4B0B0CEE"/>
    <w:rsid w:val="4D3A1BEE"/>
    <w:rsid w:val="4D7139B2"/>
    <w:rsid w:val="4E863BEF"/>
    <w:rsid w:val="51167C67"/>
    <w:rsid w:val="527E3577"/>
    <w:rsid w:val="52E45C1D"/>
    <w:rsid w:val="5502350B"/>
    <w:rsid w:val="557C16C6"/>
    <w:rsid w:val="58A47B07"/>
    <w:rsid w:val="5B011A81"/>
    <w:rsid w:val="5B931D57"/>
    <w:rsid w:val="5C596FE3"/>
    <w:rsid w:val="5EE91D71"/>
    <w:rsid w:val="60277B6B"/>
    <w:rsid w:val="61255EFB"/>
    <w:rsid w:val="62A64A2A"/>
    <w:rsid w:val="65C65F6E"/>
    <w:rsid w:val="66D70334"/>
    <w:rsid w:val="672D33F6"/>
    <w:rsid w:val="67A02A08"/>
    <w:rsid w:val="67CD277B"/>
    <w:rsid w:val="67FA53BF"/>
    <w:rsid w:val="68ED2BDB"/>
    <w:rsid w:val="69B415BF"/>
    <w:rsid w:val="6E76775F"/>
    <w:rsid w:val="6EBE5059"/>
    <w:rsid w:val="719C4E56"/>
    <w:rsid w:val="73F533C6"/>
    <w:rsid w:val="74503BCF"/>
    <w:rsid w:val="75C560E1"/>
    <w:rsid w:val="76085ED3"/>
    <w:rsid w:val="76127B9E"/>
    <w:rsid w:val="76205864"/>
    <w:rsid w:val="76A3786A"/>
    <w:rsid w:val="775050F1"/>
    <w:rsid w:val="794E64C2"/>
    <w:rsid w:val="7C1B26E1"/>
    <w:rsid w:val="7C945427"/>
    <w:rsid w:val="7F1B3C95"/>
    <w:rsid w:val="7FE11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ind w:firstLine="200" w:firstLineChars="200"/>
      <w:jc w:val="both"/>
    </w:pPr>
    <w:rPr>
      <w:rFonts w:ascii="华文仿宋" w:hAnsi="华文仿宋" w:eastAsia="华文仿宋" w:cs="Times New Roman"/>
      <w:kern w:val="2"/>
      <w:sz w:val="32"/>
      <w:szCs w:val="22"/>
      <w:lang w:val="en-US" w:eastAsia="zh-CN" w:bidi="ar-SA"/>
    </w:rPr>
  </w:style>
  <w:style w:type="paragraph" w:styleId="2">
    <w:name w:val="heading 1"/>
    <w:basedOn w:val="1"/>
    <w:next w:val="1"/>
    <w:qFormat/>
    <w:uiPriority w:val="0"/>
    <w:pPr>
      <w:keepNext/>
      <w:keepLines/>
      <w:outlineLvl w:val="0"/>
    </w:pPr>
    <w:rPr>
      <w:rFonts w:eastAsia="华文细黑"/>
      <w:b/>
      <w:bCs/>
      <w:kern w:val="44"/>
      <w:szCs w:val="44"/>
    </w:rPr>
  </w:style>
  <w:style w:type="paragraph" w:styleId="3">
    <w:name w:val="heading 2"/>
    <w:basedOn w:val="1"/>
    <w:next w:val="1"/>
    <w:unhideWhenUsed/>
    <w:qFormat/>
    <w:uiPriority w:val="0"/>
    <w:pPr>
      <w:keepNext/>
      <w:keepLines/>
      <w:outlineLvl w:val="1"/>
    </w:pPr>
    <w:rPr>
      <w:rFonts w:ascii="华文楷体" w:hAnsi="华文楷体" w:eastAsia="华文楷体"/>
      <w:bCs/>
      <w:szCs w:val="32"/>
    </w:rPr>
  </w:style>
  <w:style w:type="paragraph" w:styleId="4">
    <w:name w:val="heading 3"/>
    <w:basedOn w:val="1"/>
    <w:next w:val="1"/>
    <w:unhideWhenUsed/>
    <w:qFormat/>
    <w:uiPriority w:val="0"/>
    <w:pPr>
      <w:keepNext/>
      <w:keepLines/>
      <w:outlineLvl w:val="2"/>
    </w:pPr>
    <w:rPr>
      <w:bCs/>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5">
    <w:name w:val="Title"/>
    <w:basedOn w:val="1"/>
    <w:next w:val="1"/>
    <w:qFormat/>
    <w:uiPriority w:val="0"/>
    <w:pPr>
      <w:spacing w:before="240" w:after="60"/>
      <w:ind w:firstLine="0" w:firstLineChars="0"/>
      <w:jc w:val="center"/>
      <w:outlineLvl w:val="0"/>
    </w:pPr>
    <w:rPr>
      <w:rFonts w:ascii="华文中宋" w:hAnsi="华文中宋" w:eastAsia="华文中宋"/>
      <w:b/>
      <w:bCs/>
      <w:sz w:val="44"/>
      <w:szCs w:val="32"/>
    </w:rPr>
  </w:style>
  <w:style w:type="paragraph" w:customStyle="1" w:styleId="8">
    <w:name w:val="封面标题"/>
    <w:basedOn w:val="1"/>
    <w:qFormat/>
    <w:uiPriority w:val="0"/>
    <w:pPr>
      <w:ind w:firstLine="0" w:firstLineChars="0"/>
      <w:jc w:val="center"/>
    </w:pPr>
    <w:rPr>
      <w:rFonts w:ascii="华文宋体" w:hAnsi="华文宋体" w:eastAsia="华文宋体"/>
      <w:sz w:val="48"/>
      <w:szCs w:val="48"/>
    </w:rPr>
  </w:style>
  <w:style w:type="paragraph" w:customStyle="1" w:styleId="9">
    <w:name w:val="正文无首行缩进"/>
    <w:basedOn w:val="1"/>
    <w:qFormat/>
    <w:uiPriority w:val="0"/>
    <w:pPr>
      <w:ind w:firstLine="0" w:firstLineChars="0"/>
      <w:jc w:val="center"/>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550</Words>
  <Characters>3135</Characters>
  <Lines>26</Lines>
  <Paragraphs>7</Paragraphs>
  <TotalTime>180</TotalTime>
  <ScaleCrop>false</ScaleCrop>
  <LinksUpToDate>false</LinksUpToDate>
  <CharactersWithSpaces>3678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2020-06-15T08:07:00Z</dcterms:created>
  <dc:creator>Shu</dc:creator>
  <cp:lastModifiedBy>Shu</cp:lastModifiedBy>
  <dcterms:modified xsi:type="dcterms:W3CDTF">2020-07-06T02:03:43Z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